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4D1" w:rsidRDefault="006964D1" w:rsidP="00D45D1F">
      <w:pPr>
        <w:shd w:val="clear" w:color="auto" w:fill="FFFFFF"/>
        <w:spacing w:before="300" w:after="150" w:line="240" w:lineRule="auto"/>
        <w:outlineLvl w:val="0"/>
        <w:rPr>
          <w:rFonts w:eastAsia="Times New Roman" w:cstheme="minorHAnsi"/>
          <w:b/>
          <w:color w:val="333333"/>
          <w:kern w:val="36"/>
          <w:sz w:val="32"/>
          <w:szCs w:val="32"/>
        </w:rPr>
      </w:pPr>
      <w:bookmarkStart w:id="0" w:name="_GoBack"/>
      <w:bookmarkEnd w:id="0"/>
      <w:r>
        <w:rPr>
          <w:rFonts w:eastAsia="Times New Roman" w:cstheme="minorHAnsi"/>
          <w:b/>
          <w:color w:val="333333"/>
          <w:kern w:val="36"/>
          <w:sz w:val="32"/>
          <w:szCs w:val="32"/>
        </w:rPr>
        <w:t>Attachment 1</w:t>
      </w:r>
    </w:p>
    <w:p w:rsidR="00D45D1F" w:rsidRDefault="00D45D1F" w:rsidP="00D45D1F">
      <w:pPr>
        <w:shd w:val="clear" w:color="auto" w:fill="FFFFFF"/>
        <w:spacing w:before="300" w:after="150" w:line="240" w:lineRule="auto"/>
        <w:outlineLvl w:val="0"/>
        <w:rPr>
          <w:rFonts w:eastAsia="Times New Roman" w:cstheme="minorHAnsi"/>
          <w:b/>
          <w:color w:val="333333"/>
          <w:kern w:val="36"/>
          <w:sz w:val="32"/>
          <w:szCs w:val="32"/>
        </w:rPr>
      </w:pPr>
      <w:r w:rsidRPr="00770326">
        <w:rPr>
          <w:rFonts w:eastAsia="Times New Roman" w:cstheme="minorHAnsi"/>
          <w:b/>
          <w:color w:val="333333"/>
          <w:kern w:val="36"/>
          <w:sz w:val="32"/>
          <w:szCs w:val="32"/>
        </w:rPr>
        <w:t>18 AAC 75.434 - Response planning standards for exploration or production facilities</w:t>
      </w:r>
    </w:p>
    <w:p w:rsidR="00770326" w:rsidRDefault="00770326" w:rsidP="00D45D1F">
      <w:pPr>
        <w:shd w:val="clear" w:color="auto" w:fill="FFFFFF"/>
        <w:spacing w:before="300" w:after="150" w:line="240" w:lineRule="auto"/>
        <w:outlineLvl w:val="0"/>
        <w:rPr>
          <w:rFonts w:eastAsia="Times New Roman" w:cstheme="minorHAnsi"/>
          <w:b/>
          <w:color w:val="333333"/>
          <w:kern w:val="36"/>
          <w:sz w:val="32"/>
          <w:szCs w:val="32"/>
        </w:rPr>
      </w:pPr>
      <w:r>
        <w:rPr>
          <w:rFonts w:eastAsia="Times New Roman" w:cstheme="minorHAnsi"/>
          <w:b/>
          <w:color w:val="333333"/>
          <w:kern w:val="36"/>
          <w:sz w:val="32"/>
          <w:szCs w:val="32"/>
        </w:rPr>
        <w:t xml:space="preserve">Source: </w:t>
      </w:r>
      <w:hyperlink r:id="rId5" w:anchor="18.75.432" w:history="1">
        <w:r w:rsidRPr="00482443">
          <w:rPr>
            <w:rStyle w:val="Hyperlink"/>
            <w:rFonts w:eastAsia="Times New Roman" w:cstheme="minorHAnsi"/>
            <w:b/>
            <w:kern w:val="36"/>
            <w:sz w:val="32"/>
            <w:szCs w:val="32"/>
          </w:rPr>
          <w:t>http://www.akleg.gov/basis/aac.asp#18.75.432</w:t>
        </w:r>
      </w:hyperlink>
    </w:p>
    <w:p w:rsidR="00D45D1F" w:rsidRPr="00770326" w:rsidRDefault="00770326" w:rsidP="00D45D1F">
      <w:pPr>
        <w:shd w:val="clear" w:color="auto" w:fill="FFFFFF"/>
        <w:spacing w:after="100" w:afterAutospacing="1" w:line="240" w:lineRule="auto"/>
        <w:rPr>
          <w:rFonts w:eastAsia="Times New Roman" w:cstheme="minorHAnsi"/>
          <w:color w:val="333333"/>
          <w:sz w:val="24"/>
          <w:szCs w:val="24"/>
        </w:rPr>
      </w:pPr>
      <w:r w:rsidRPr="00770326">
        <w:rPr>
          <w:rFonts w:eastAsia="Times New Roman" w:cstheme="minorHAnsi"/>
          <w:color w:val="333333"/>
          <w:sz w:val="24"/>
          <w:szCs w:val="24"/>
        </w:rPr>
        <w:t xml:space="preserve"> </w:t>
      </w:r>
      <w:r w:rsidR="00D45D1F" w:rsidRPr="00770326">
        <w:rPr>
          <w:rFonts w:eastAsia="Times New Roman" w:cstheme="minorHAnsi"/>
          <w:color w:val="333333"/>
          <w:sz w:val="24"/>
          <w:szCs w:val="24"/>
        </w:rPr>
        <w:t>(a) For an exploration or production facility, the plan holder shall maintain or have available under contract within the plan holder's region of operation or another approved location, sufficient oil discharge containment, storage, transfer, and cleanup equipment, personnel, and other resources to</w:t>
      </w:r>
    </w:p>
    <w:p w:rsidR="00D45D1F" w:rsidRPr="00770326" w:rsidRDefault="00D45D1F" w:rsidP="00D45D1F">
      <w:pPr>
        <w:shd w:val="clear" w:color="auto" w:fill="FFFFFF"/>
        <w:spacing w:after="100" w:afterAutospacing="1" w:line="240" w:lineRule="auto"/>
        <w:rPr>
          <w:rFonts w:eastAsia="Times New Roman" w:cstheme="minorHAnsi"/>
          <w:color w:val="333333"/>
          <w:sz w:val="24"/>
          <w:szCs w:val="24"/>
        </w:rPr>
      </w:pPr>
      <w:r w:rsidRPr="00770326">
        <w:rPr>
          <w:rFonts w:eastAsia="Times New Roman" w:cstheme="minorHAnsi"/>
          <w:color w:val="333333"/>
          <w:sz w:val="24"/>
          <w:szCs w:val="24"/>
        </w:rPr>
        <w:t>(1) contain or control and clean up within 72 hours that portion of the response planning standard volume that enters open water; and</w:t>
      </w:r>
    </w:p>
    <w:p w:rsidR="00D45D1F" w:rsidRPr="00770326" w:rsidRDefault="00D45D1F" w:rsidP="00D45D1F">
      <w:pPr>
        <w:shd w:val="clear" w:color="auto" w:fill="FFFFFF"/>
        <w:spacing w:after="100" w:afterAutospacing="1" w:line="240" w:lineRule="auto"/>
        <w:rPr>
          <w:rFonts w:eastAsia="Times New Roman" w:cstheme="minorHAnsi"/>
          <w:color w:val="333333"/>
          <w:sz w:val="24"/>
          <w:szCs w:val="24"/>
        </w:rPr>
      </w:pPr>
      <w:r w:rsidRPr="00770326">
        <w:rPr>
          <w:rFonts w:eastAsia="Times New Roman" w:cstheme="minorHAnsi"/>
          <w:color w:val="333333"/>
          <w:sz w:val="24"/>
          <w:szCs w:val="24"/>
        </w:rPr>
        <w:t>(2) contain or control within 72 hours, and clean up within the shortest possible time consistent with minimizing damage to the environment, that portion of the response planning standard volume that enters a receiving environment other than open water.</w:t>
      </w:r>
    </w:p>
    <w:p w:rsidR="00D45D1F" w:rsidRPr="00770326" w:rsidRDefault="00D45D1F" w:rsidP="00D45D1F">
      <w:pPr>
        <w:shd w:val="clear" w:color="auto" w:fill="FFFFFF"/>
        <w:spacing w:after="100" w:afterAutospacing="1" w:line="240" w:lineRule="auto"/>
        <w:rPr>
          <w:rFonts w:eastAsia="Times New Roman" w:cstheme="minorHAnsi"/>
          <w:color w:val="333333"/>
          <w:sz w:val="24"/>
          <w:szCs w:val="24"/>
        </w:rPr>
      </w:pPr>
      <w:r w:rsidRPr="00770326">
        <w:rPr>
          <w:rFonts w:eastAsia="Times New Roman" w:cstheme="minorHAnsi"/>
          <w:color w:val="333333"/>
          <w:sz w:val="24"/>
          <w:szCs w:val="24"/>
        </w:rPr>
        <w:t>(b) The response planning standard for an exploration facility is</w:t>
      </w:r>
    </w:p>
    <w:p w:rsidR="00D45D1F" w:rsidRPr="00770326" w:rsidRDefault="00D45D1F" w:rsidP="00D45D1F">
      <w:pPr>
        <w:shd w:val="clear" w:color="auto" w:fill="FFFFFF"/>
        <w:spacing w:after="100" w:afterAutospacing="1" w:line="240" w:lineRule="auto"/>
        <w:rPr>
          <w:rFonts w:eastAsia="Times New Roman" w:cstheme="minorHAnsi"/>
          <w:color w:val="333333"/>
          <w:sz w:val="24"/>
          <w:szCs w:val="24"/>
        </w:rPr>
      </w:pPr>
      <w:r w:rsidRPr="00770326">
        <w:rPr>
          <w:rFonts w:eastAsia="Times New Roman" w:cstheme="minorHAnsi"/>
          <w:color w:val="333333"/>
          <w:sz w:val="24"/>
          <w:szCs w:val="24"/>
        </w:rPr>
        <w:t>(1) 16,500 barrels, unless relevant well data, exploration data, and other supporting technical documentation provided to the department and to the Alaska Oil and Gas Conservation Commission demonstrates to the satisfaction of the department that a lower response planning standard volume is appropriate; and</w:t>
      </w:r>
    </w:p>
    <w:p w:rsidR="00D45D1F" w:rsidRPr="00770326" w:rsidRDefault="00D45D1F" w:rsidP="00D45D1F">
      <w:pPr>
        <w:shd w:val="clear" w:color="auto" w:fill="FFFFFF"/>
        <w:spacing w:after="100" w:afterAutospacing="1" w:line="240" w:lineRule="auto"/>
        <w:rPr>
          <w:rFonts w:eastAsia="Times New Roman" w:cstheme="minorHAnsi"/>
          <w:color w:val="333333"/>
          <w:sz w:val="24"/>
          <w:szCs w:val="24"/>
        </w:rPr>
      </w:pPr>
      <w:r w:rsidRPr="00770326">
        <w:rPr>
          <w:rFonts w:eastAsia="Times New Roman" w:cstheme="minorHAnsi"/>
          <w:color w:val="333333"/>
          <w:sz w:val="24"/>
          <w:szCs w:val="24"/>
        </w:rPr>
        <w:t>(2) an additional 5,500 barrels for each of 12 days beyond 72 hours, unless relevant well data, exploration data, and other supporting technical documentation provided to the department and to the Alaska Oil and Gas Conservation Commission demonstrates to the satisfaction of the department that a lower response planning standard volume is appropriate.</w:t>
      </w:r>
    </w:p>
    <w:p w:rsidR="00D45D1F" w:rsidRPr="00770326" w:rsidRDefault="00D45D1F" w:rsidP="00D45D1F">
      <w:pPr>
        <w:shd w:val="clear" w:color="auto" w:fill="FFFFFF"/>
        <w:spacing w:after="100" w:afterAutospacing="1" w:line="240" w:lineRule="auto"/>
        <w:rPr>
          <w:rFonts w:eastAsia="Times New Roman" w:cstheme="minorHAnsi"/>
          <w:color w:val="333333"/>
          <w:sz w:val="24"/>
          <w:szCs w:val="24"/>
        </w:rPr>
      </w:pPr>
      <w:r w:rsidRPr="00770326">
        <w:rPr>
          <w:rFonts w:eastAsia="Times New Roman" w:cstheme="minorHAnsi"/>
          <w:color w:val="333333"/>
          <w:sz w:val="24"/>
          <w:szCs w:val="24"/>
        </w:rPr>
        <w:t>(c) Repealed 5/26/2004.</w:t>
      </w:r>
    </w:p>
    <w:p w:rsidR="00D45D1F" w:rsidRPr="00770326" w:rsidRDefault="00D45D1F" w:rsidP="00D45D1F">
      <w:pPr>
        <w:shd w:val="clear" w:color="auto" w:fill="FFFFFF"/>
        <w:spacing w:after="100" w:afterAutospacing="1" w:line="240" w:lineRule="auto"/>
        <w:rPr>
          <w:rFonts w:eastAsia="Times New Roman" w:cstheme="minorHAnsi"/>
          <w:color w:val="333333"/>
          <w:sz w:val="24"/>
          <w:szCs w:val="24"/>
        </w:rPr>
      </w:pPr>
      <w:r w:rsidRPr="00770326">
        <w:rPr>
          <w:rFonts w:eastAsia="Times New Roman" w:cstheme="minorHAnsi"/>
          <w:color w:val="333333"/>
          <w:sz w:val="24"/>
          <w:szCs w:val="24"/>
        </w:rPr>
        <w:t>(d) If the actual flow rate of a well at an exploration facility exceeds 5,500 barrels per day, and the facility is to continue operations, the department will increase the response planning standard volume determined under (b) of this section for subsequent exploration wells drilled at that facility to a response planning standard volume taking into account the actual well flow rate of that well. The plan holder must submit a plan amendment under 18 AAC 75.415 addressing the increased response planning standard volume within 30 days after the department notifies the plan holder of the department's determination under this section. The department will review the plan amendment under 18 AAC 75.455.</w:t>
      </w:r>
    </w:p>
    <w:p w:rsidR="00D45D1F" w:rsidRPr="00770326" w:rsidRDefault="00D45D1F" w:rsidP="00D45D1F">
      <w:pPr>
        <w:shd w:val="clear" w:color="auto" w:fill="FFFFFF"/>
        <w:spacing w:after="100" w:afterAutospacing="1" w:line="240" w:lineRule="auto"/>
        <w:rPr>
          <w:rFonts w:eastAsia="Times New Roman" w:cstheme="minorHAnsi"/>
          <w:color w:val="333333"/>
          <w:sz w:val="24"/>
          <w:szCs w:val="24"/>
        </w:rPr>
      </w:pPr>
      <w:r w:rsidRPr="00770326">
        <w:rPr>
          <w:rFonts w:eastAsia="Times New Roman" w:cstheme="minorHAnsi"/>
          <w:color w:val="333333"/>
          <w:sz w:val="24"/>
          <w:szCs w:val="24"/>
        </w:rPr>
        <w:lastRenderedPageBreak/>
        <w:t>(e) The response planning standard for a production facility is</w:t>
      </w:r>
    </w:p>
    <w:p w:rsidR="00D45D1F" w:rsidRPr="00770326" w:rsidRDefault="00D45D1F" w:rsidP="00D45D1F">
      <w:pPr>
        <w:shd w:val="clear" w:color="auto" w:fill="FFFFFF"/>
        <w:spacing w:after="100" w:afterAutospacing="1" w:line="240" w:lineRule="auto"/>
        <w:rPr>
          <w:rFonts w:eastAsia="Times New Roman" w:cstheme="minorHAnsi"/>
          <w:color w:val="333333"/>
          <w:sz w:val="24"/>
          <w:szCs w:val="24"/>
        </w:rPr>
      </w:pPr>
      <w:r w:rsidRPr="00770326">
        <w:rPr>
          <w:rFonts w:eastAsia="Times New Roman" w:cstheme="minorHAnsi"/>
          <w:color w:val="333333"/>
          <w:sz w:val="24"/>
          <w:szCs w:val="24"/>
        </w:rPr>
        <w:t>(1) three times the annual average daily oil production volume for the maximum producing well at the facility; and</w:t>
      </w:r>
    </w:p>
    <w:p w:rsidR="00D45D1F" w:rsidRPr="00770326" w:rsidRDefault="00D45D1F" w:rsidP="00D45D1F">
      <w:pPr>
        <w:shd w:val="clear" w:color="auto" w:fill="FFFFFF"/>
        <w:spacing w:after="100" w:afterAutospacing="1" w:line="240" w:lineRule="auto"/>
        <w:rPr>
          <w:rFonts w:eastAsia="Times New Roman" w:cstheme="minorHAnsi"/>
          <w:color w:val="333333"/>
          <w:sz w:val="24"/>
          <w:szCs w:val="24"/>
        </w:rPr>
      </w:pPr>
      <w:r w:rsidRPr="00770326">
        <w:rPr>
          <w:rFonts w:eastAsia="Times New Roman" w:cstheme="minorHAnsi"/>
          <w:color w:val="333333"/>
          <w:sz w:val="24"/>
          <w:szCs w:val="24"/>
        </w:rPr>
        <w:t>(2) for a production facility with wells without assisted lift, an additional volume equal to the annual average daily oil production volume for the maximum producing well at the facility for each of 12 days beyond 72 hours.</w:t>
      </w:r>
    </w:p>
    <w:p w:rsidR="00D45D1F" w:rsidRPr="00770326" w:rsidRDefault="00D45D1F" w:rsidP="00D45D1F">
      <w:pPr>
        <w:shd w:val="clear" w:color="auto" w:fill="FFFFFF"/>
        <w:spacing w:after="100" w:afterAutospacing="1" w:line="240" w:lineRule="auto"/>
        <w:rPr>
          <w:rFonts w:eastAsia="Times New Roman" w:cstheme="minorHAnsi"/>
          <w:color w:val="333333"/>
          <w:sz w:val="24"/>
          <w:szCs w:val="24"/>
        </w:rPr>
      </w:pPr>
      <w:r w:rsidRPr="00770326">
        <w:rPr>
          <w:rFonts w:eastAsia="Times New Roman" w:cstheme="minorHAnsi"/>
          <w:color w:val="333333"/>
          <w:sz w:val="24"/>
          <w:szCs w:val="24"/>
        </w:rPr>
        <w:t>(f) The department may consult with the Alaska Oil and Gas Conservation Commission and other agencies as necessary to</w:t>
      </w:r>
    </w:p>
    <w:p w:rsidR="00D45D1F" w:rsidRPr="00770326" w:rsidRDefault="00D45D1F" w:rsidP="00D45D1F">
      <w:pPr>
        <w:shd w:val="clear" w:color="auto" w:fill="FFFFFF"/>
        <w:spacing w:after="100" w:afterAutospacing="1" w:line="240" w:lineRule="auto"/>
        <w:rPr>
          <w:rFonts w:eastAsia="Times New Roman" w:cstheme="minorHAnsi"/>
          <w:color w:val="333333"/>
          <w:sz w:val="24"/>
          <w:szCs w:val="24"/>
        </w:rPr>
      </w:pPr>
      <w:r w:rsidRPr="00770326">
        <w:rPr>
          <w:rFonts w:eastAsia="Times New Roman" w:cstheme="minorHAnsi"/>
          <w:color w:val="333333"/>
          <w:sz w:val="24"/>
          <w:szCs w:val="24"/>
        </w:rPr>
        <w:t>(1) verify the production data submitted under (d) of this section; and</w:t>
      </w:r>
    </w:p>
    <w:p w:rsidR="00D45D1F" w:rsidRPr="00770326" w:rsidRDefault="00D45D1F" w:rsidP="00D45D1F">
      <w:pPr>
        <w:shd w:val="clear" w:color="auto" w:fill="FFFFFF"/>
        <w:spacing w:after="100" w:afterAutospacing="1" w:line="240" w:lineRule="auto"/>
        <w:rPr>
          <w:rFonts w:eastAsia="Times New Roman" w:cstheme="minorHAnsi"/>
          <w:color w:val="333333"/>
          <w:sz w:val="24"/>
          <w:szCs w:val="24"/>
        </w:rPr>
      </w:pPr>
      <w:r w:rsidRPr="00770326">
        <w:rPr>
          <w:rFonts w:eastAsia="Times New Roman" w:cstheme="minorHAnsi"/>
          <w:color w:val="333333"/>
          <w:sz w:val="24"/>
          <w:szCs w:val="24"/>
        </w:rPr>
        <w:t>(2) determine, under (b) of this section, a lower response planning standard for exploration facilities.</w:t>
      </w:r>
    </w:p>
    <w:p w:rsidR="00D45D1F" w:rsidRPr="00770326" w:rsidRDefault="00D45D1F" w:rsidP="00D45D1F">
      <w:pPr>
        <w:shd w:val="clear" w:color="auto" w:fill="FFFFFF"/>
        <w:spacing w:after="100" w:afterAutospacing="1" w:line="240" w:lineRule="auto"/>
        <w:rPr>
          <w:rFonts w:eastAsia="Times New Roman" w:cstheme="minorHAnsi"/>
          <w:color w:val="333333"/>
          <w:sz w:val="24"/>
          <w:szCs w:val="24"/>
        </w:rPr>
      </w:pPr>
      <w:r w:rsidRPr="00770326">
        <w:rPr>
          <w:rFonts w:eastAsia="Times New Roman" w:cstheme="minorHAnsi"/>
          <w:color w:val="333333"/>
          <w:sz w:val="24"/>
          <w:szCs w:val="24"/>
        </w:rPr>
        <w:t>(g) If an operator proposes the planned voluntary ignition of a well blowout, the operator shall submit data, analyses, and supporting documentation that indicates to the satisfaction of the department that any discharged oil would have an American Petroleum Institute (API) gravity of 35 or greater, a gas-oil ratio in excess of 2,000, and an anticipated combustion efficiency of at least 90 percent, that well ignition would not exceed national ambient air quality standards set under </w:t>
      </w:r>
      <w:hyperlink r:id="rId6" w:history="1">
        <w:r w:rsidRPr="00770326">
          <w:rPr>
            <w:rFonts w:eastAsia="Times New Roman" w:cstheme="minorHAnsi"/>
            <w:color w:val="0068AC"/>
            <w:sz w:val="24"/>
            <w:szCs w:val="24"/>
            <w:u w:val="single"/>
          </w:rPr>
          <w:t>42 U.S.C. 7409</w:t>
        </w:r>
      </w:hyperlink>
      <w:r w:rsidRPr="00770326">
        <w:rPr>
          <w:rFonts w:eastAsia="Times New Roman" w:cstheme="minorHAnsi"/>
          <w:color w:val="333333"/>
          <w:sz w:val="24"/>
          <w:szCs w:val="24"/>
        </w:rPr>
        <w:t> (Clean Air Act), and that well ignition will be protective of human health, safety, and welfare, and of the environment. The department will adjust the response planning standard determined under (b) - (e) of this section based on the submitted data. The department may consult with the Alaska Oil and Gas Conservation Commission and other agencies in evaluating the data provided by the operator under this subsection.</w:t>
      </w:r>
    </w:p>
    <w:p w:rsidR="00D45D1F" w:rsidRPr="00770326" w:rsidRDefault="00D45D1F" w:rsidP="00D45D1F">
      <w:pPr>
        <w:shd w:val="clear" w:color="auto" w:fill="FFFFFF"/>
        <w:spacing w:after="100" w:afterAutospacing="1" w:line="240" w:lineRule="auto"/>
        <w:rPr>
          <w:rFonts w:eastAsia="Times New Roman" w:cstheme="minorHAnsi"/>
          <w:color w:val="333333"/>
          <w:sz w:val="24"/>
          <w:szCs w:val="24"/>
        </w:rPr>
      </w:pPr>
      <w:r w:rsidRPr="00770326">
        <w:rPr>
          <w:rFonts w:eastAsia="Times New Roman" w:cstheme="minorHAnsi"/>
          <w:color w:val="333333"/>
          <w:sz w:val="24"/>
          <w:szCs w:val="24"/>
        </w:rPr>
        <w:t>(h) If exploration and production facilities are covered under a single plan accepted under 18 AAC 75.400(d), the department will consider the largest of the response planning standards determined under (b) - (e) of this section to be the response planning standard for that plan.</w:t>
      </w:r>
    </w:p>
    <w:p w:rsidR="00D45D1F" w:rsidRPr="00770326" w:rsidRDefault="00D45D1F" w:rsidP="00D45D1F">
      <w:pPr>
        <w:shd w:val="clear" w:color="auto" w:fill="FFFFFF"/>
        <w:spacing w:after="100" w:afterAutospacing="1" w:line="240" w:lineRule="auto"/>
        <w:rPr>
          <w:rFonts w:eastAsia="Times New Roman" w:cstheme="minorHAnsi"/>
          <w:color w:val="333333"/>
          <w:sz w:val="24"/>
          <w:szCs w:val="24"/>
        </w:rPr>
      </w:pPr>
      <w:r w:rsidRPr="00770326">
        <w:rPr>
          <w:rFonts w:eastAsia="Times New Roman" w:cstheme="minorHAnsi"/>
          <w:color w:val="333333"/>
          <w:sz w:val="24"/>
          <w:szCs w:val="24"/>
        </w:rPr>
        <w:t>(i) The department will protect from public disclosure any data, analyses, or supporting documentation that is required under this section and held confidential by the department or another state agency under applicable constitutional law, statutes, and common law doctrines that protect trade secrets within the meaning of AS 45.50.940 and other commercially sensitive, confidential, and proprietary information. If disclosure of that information is required in an adjudicatory hearing under 18 AAC 15.185 - 18 AAC 15.340, the hearing officer shall limit and condition disclosure to the extent necessary to comport with applicable constitutional, statutory, and common law doctrines that protect trade secrets within the meaning of AS 45.50.940 and other commercially sensitive, confidential, and proprietary information. In limiting or conditioning disclosure under this subsection, the hearing officer shall or department will, as necessary</w:t>
      </w:r>
    </w:p>
    <w:p w:rsidR="00D45D1F" w:rsidRPr="00770326" w:rsidRDefault="00D45D1F" w:rsidP="00D45D1F">
      <w:pPr>
        <w:shd w:val="clear" w:color="auto" w:fill="FFFFFF"/>
        <w:spacing w:after="100" w:afterAutospacing="1" w:line="240" w:lineRule="auto"/>
        <w:rPr>
          <w:rFonts w:eastAsia="Times New Roman" w:cstheme="minorHAnsi"/>
          <w:color w:val="333333"/>
          <w:sz w:val="24"/>
          <w:szCs w:val="24"/>
        </w:rPr>
      </w:pPr>
      <w:r w:rsidRPr="00770326">
        <w:rPr>
          <w:rFonts w:eastAsia="Times New Roman" w:cstheme="minorHAnsi"/>
          <w:color w:val="333333"/>
          <w:sz w:val="24"/>
          <w:szCs w:val="24"/>
        </w:rPr>
        <w:lastRenderedPageBreak/>
        <w:t>(1) review confidential information in-camera; and</w:t>
      </w:r>
    </w:p>
    <w:p w:rsidR="00D45D1F" w:rsidRPr="00770326" w:rsidRDefault="00D45D1F" w:rsidP="00D45D1F">
      <w:pPr>
        <w:shd w:val="clear" w:color="auto" w:fill="FFFFFF"/>
        <w:spacing w:after="100" w:afterAutospacing="1" w:line="240" w:lineRule="auto"/>
        <w:rPr>
          <w:rFonts w:eastAsia="Times New Roman" w:cstheme="minorHAnsi"/>
          <w:color w:val="333333"/>
          <w:sz w:val="24"/>
          <w:szCs w:val="24"/>
        </w:rPr>
      </w:pPr>
      <w:r w:rsidRPr="00770326">
        <w:rPr>
          <w:rFonts w:eastAsia="Times New Roman" w:cstheme="minorHAnsi"/>
          <w:color w:val="333333"/>
          <w:sz w:val="24"/>
          <w:szCs w:val="24"/>
        </w:rPr>
        <w:t>(2) redact department decisions to protect confidential information.</w:t>
      </w:r>
    </w:p>
    <w:p w:rsidR="00D45D1F" w:rsidRPr="00770326" w:rsidRDefault="00D45D1F" w:rsidP="00D45D1F">
      <w:pPr>
        <w:shd w:val="clear" w:color="auto" w:fill="FFFFFF"/>
        <w:spacing w:after="100" w:afterAutospacing="1" w:line="240" w:lineRule="auto"/>
        <w:rPr>
          <w:rFonts w:eastAsia="Times New Roman" w:cstheme="minorHAnsi"/>
          <w:color w:val="333333"/>
          <w:sz w:val="24"/>
          <w:szCs w:val="24"/>
        </w:rPr>
      </w:pPr>
      <w:r w:rsidRPr="00770326">
        <w:rPr>
          <w:rFonts w:eastAsia="Times New Roman" w:cstheme="minorHAnsi"/>
          <w:color w:val="333333"/>
          <w:sz w:val="24"/>
          <w:szCs w:val="24"/>
        </w:rPr>
        <w:t>(j) The department may reduce the requirements of (b) - (e) of this section, up to the limits set out in 18 AAC 75.430(c) (1), for prevention measures in place at the facility beyond those measures imposed by the Alaska Oil and Gas Conservation Commission or another agency.</w:t>
      </w:r>
    </w:p>
    <w:p w:rsidR="00D45D1F" w:rsidRPr="00770326" w:rsidRDefault="00D45D1F" w:rsidP="00D45D1F">
      <w:pPr>
        <w:shd w:val="clear" w:color="auto" w:fill="FFFFFF"/>
        <w:spacing w:after="0" w:line="240" w:lineRule="auto"/>
        <w:rPr>
          <w:rFonts w:eastAsia="Times New Roman" w:cstheme="minorHAnsi"/>
          <w:color w:val="333333"/>
          <w:sz w:val="24"/>
          <w:szCs w:val="24"/>
        </w:rPr>
      </w:pPr>
      <w:r w:rsidRPr="00770326">
        <w:rPr>
          <w:rFonts w:eastAsia="Times New Roman" w:cstheme="minorHAnsi"/>
          <w:color w:val="333333"/>
          <w:sz w:val="24"/>
          <w:szCs w:val="24"/>
        </w:rPr>
        <w:t>(Eff. 5/14/92, Register 122; am 5/26/2004, Register 170)</w:t>
      </w:r>
    </w:p>
    <w:p w:rsidR="00D45D1F" w:rsidRPr="00770326" w:rsidRDefault="00D45D1F" w:rsidP="00D45D1F">
      <w:pPr>
        <w:shd w:val="clear" w:color="auto" w:fill="FFFFFF"/>
        <w:spacing w:after="100" w:afterAutospacing="1" w:line="240" w:lineRule="auto"/>
        <w:rPr>
          <w:rFonts w:eastAsia="Times New Roman" w:cstheme="minorHAnsi"/>
          <w:color w:val="333333"/>
          <w:sz w:val="24"/>
          <w:szCs w:val="24"/>
        </w:rPr>
      </w:pPr>
      <w:r w:rsidRPr="00770326">
        <w:rPr>
          <w:rFonts w:eastAsia="Times New Roman" w:cstheme="minorHAnsi"/>
          <w:b/>
          <w:bCs/>
          <w:color w:val="333333"/>
          <w:sz w:val="24"/>
          <w:szCs w:val="24"/>
        </w:rPr>
        <w:t>Authority:</w:t>
      </w:r>
      <w:r w:rsidR="00770326">
        <w:rPr>
          <w:rFonts w:eastAsia="Times New Roman" w:cstheme="minorHAnsi"/>
          <w:b/>
          <w:bCs/>
          <w:color w:val="333333"/>
          <w:sz w:val="24"/>
          <w:szCs w:val="24"/>
        </w:rPr>
        <w:t xml:space="preserve"> </w:t>
      </w:r>
      <w:r w:rsidRPr="00770326">
        <w:rPr>
          <w:rFonts w:eastAsia="Times New Roman" w:cstheme="minorHAnsi"/>
          <w:color w:val="333333"/>
          <w:sz w:val="24"/>
          <w:szCs w:val="24"/>
        </w:rPr>
        <w:t>AS 46.03.020</w:t>
      </w:r>
    </w:p>
    <w:p w:rsidR="00D45D1F" w:rsidRPr="00770326" w:rsidRDefault="00D45D1F" w:rsidP="00D45D1F">
      <w:pPr>
        <w:shd w:val="clear" w:color="auto" w:fill="FFFFFF"/>
        <w:spacing w:after="100" w:afterAutospacing="1" w:line="240" w:lineRule="auto"/>
        <w:rPr>
          <w:rFonts w:eastAsia="Times New Roman" w:cstheme="minorHAnsi"/>
          <w:color w:val="333333"/>
          <w:sz w:val="24"/>
          <w:szCs w:val="24"/>
        </w:rPr>
      </w:pPr>
      <w:r w:rsidRPr="00770326">
        <w:rPr>
          <w:rFonts w:eastAsia="Times New Roman" w:cstheme="minorHAnsi"/>
          <w:color w:val="333333"/>
          <w:sz w:val="24"/>
          <w:szCs w:val="24"/>
        </w:rPr>
        <w:t>AS 46.04.030</w:t>
      </w:r>
    </w:p>
    <w:p w:rsidR="00D45D1F" w:rsidRPr="00770326" w:rsidRDefault="00D45D1F" w:rsidP="00D45D1F">
      <w:pPr>
        <w:shd w:val="clear" w:color="auto" w:fill="FFFFFF"/>
        <w:spacing w:after="100" w:afterAutospacing="1" w:line="240" w:lineRule="auto"/>
        <w:rPr>
          <w:rFonts w:eastAsia="Times New Roman" w:cstheme="minorHAnsi"/>
          <w:color w:val="333333"/>
          <w:sz w:val="24"/>
          <w:szCs w:val="24"/>
        </w:rPr>
      </w:pPr>
      <w:r w:rsidRPr="00770326">
        <w:rPr>
          <w:rFonts w:eastAsia="Times New Roman" w:cstheme="minorHAnsi"/>
          <w:color w:val="333333"/>
          <w:sz w:val="24"/>
          <w:szCs w:val="24"/>
        </w:rPr>
        <w:t>AS 46.04.070</w:t>
      </w:r>
    </w:p>
    <w:p w:rsidR="005644AF" w:rsidRPr="00770326" w:rsidRDefault="005644AF">
      <w:pPr>
        <w:rPr>
          <w:rFonts w:cstheme="minorHAnsi"/>
        </w:rPr>
      </w:pPr>
    </w:p>
    <w:sectPr w:rsidR="005644AF" w:rsidRPr="00770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04780"/>
    <w:multiLevelType w:val="multilevel"/>
    <w:tmpl w:val="7F26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1F"/>
    <w:rsid w:val="005644AF"/>
    <w:rsid w:val="006964D1"/>
    <w:rsid w:val="00770326"/>
    <w:rsid w:val="009C2501"/>
    <w:rsid w:val="00D45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6ED00-B2D2-43B9-BB32-0A68FE13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5D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D1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45D1F"/>
    <w:rPr>
      <w:color w:val="0000FF"/>
      <w:u w:val="single"/>
    </w:rPr>
  </w:style>
  <w:style w:type="paragraph" w:styleId="NormalWeb">
    <w:name w:val="Normal (Web)"/>
    <w:basedOn w:val="Normal"/>
    <w:uiPriority w:val="99"/>
    <w:semiHidden/>
    <w:unhideWhenUsed/>
    <w:rsid w:val="00D45D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5D1F"/>
    <w:rPr>
      <w:b/>
      <w:bCs/>
    </w:rPr>
  </w:style>
  <w:style w:type="character" w:customStyle="1" w:styleId="fontsize-2">
    <w:name w:val="fontsize-2"/>
    <w:basedOn w:val="DefaultParagraphFont"/>
    <w:rsid w:val="00D45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821">
      <w:bodyDiv w:val="1"/>
      <w:marLeft w:val="0"/>
      <w:marRight w:val="0"/>
      <w:marTop w:val="0"/>
      <w:marBottom w:val="0"/>
      <w:divBdr>
        <w:top w:val="none" w:sz="0" w:space="0" w:color="auto"/>
        <w:left w:val="none" w:sz="0" w:space="0" w:color="auto"/>
        <w:bottom w:val="none" w:sz="0" w:space="0" w:color="auto"/>
        <w:right w:val="none" w:sz="0" w:space="0" w:color="auto"/>
      </w:divBdr>
      <w:divsChild>
        <w:div w:id="898174286">
          <w:marLeft w:val="0"/>
          <w:marRight w:val="0"/>
          <w:marTop w:val="0"/>
          <w:marBottom w:val="0"/>
          <w:divBdr>
            <w:top w:val="single" w:sz="6" w:space="8" w:color="EEEEEE"/>
            <w:left w:val="single" w:sz="6" w:space="8" w:color="EEEEEE"/>
            <w:bottom w:val="single" w:sz="6" w:space="8" w:color="EEEEEE"/>
            <w:right w:val="single" w:sz="6" w:space="8" w:color="EEEEEE"/>
          </w:divBdr>
          <w:divsChild>
            <w:div w:id="616451212">
              <w:marLeft w:val="0"/>
              <w:marRight w:val="0"/>
              <w:marTop w:val="0"/>
              <w:marBottom w:val="0"/>
              <w:divBdr>
                <w:top w:val="none" w:sz="0" w:space="0" w:color="auto"/>
                <w:left w:val="none" w:sz="0" w:space="0" w:color="auto"/>
                <w:bottom w:val="none" w:sz="0" w:space="0" w:color="auto"/>
                <w:right w:val="none" w:sz="0" w:space="0" w:color="auto"/>
              </w:divBdr>
              <w:divsChild>
                <w:div w:id="1257011279">
                  <w:marLeft w:val="0"/>
                  <w:marRight w:val="0"/>
                  <w:marTop w:val="0"/>
                  <w:marBottom w:val="0"/>
                  <w:divBdr>
                    <w:top w:val="single" w:sz="6" w:space="11" w:color="EEEEEE"/>
                    <w:left w:val="none" w:sz="0" w:space="0" w:color="auto"/>
                    <w:bottom w:val="none" w:sz="0" w:space="11" w:color="auto"/>
                    <w:right w:val="none" w:sz="0" w:space="0" w:color="auto"/>
                  </w:divBdr>
                  <w:divsChild>
                    <w:div w:id="95336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cornell.edu/uscode/text/42/7409" TargetMode="External"/><Relationship Id="rId5" Type="http://schemas.openxmlformats.org/officeDocument/2006/relationships/hyperlink" Target="http://www.akleg.gov/basis/aac.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A. Johns</dc:creator>
  <cp:keywords/>
  <dc:description/>
  <cp:lastModifiedBy>Travis W. Oaks</cp:lastModifiedBy>
  <cp:revision>2</cp:revision>
  <dcterms:created xsi:type="dcterms:W3CDTF">2021-09-23T22:26:00Z</dcterms:created>
  <dcterms:modified xsi:type="dcterms:W3CDTF">2021-09-23T22:26:00Z</dcterms:modified>
</cp:coreProperties>
</file>